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CA3" w:rsidRDefault="004F28F1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8F1">
        <w:rPr>
          <w:rFonts w:ascii="Times New Roman" w:hAnsi="Times New Roman" w:cs="Times New Roman"/>
          <w:b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УО на СПРЗСР  2023-2027 г. </w:t>
      </w:r>
      <w:r w:rsidRPr="004F28F1">
        <w:rPr>
          <w:rFonts w:ascii="Times New Roman" w:hAnsi="Times New Roman" w:cs="Times New Roman"/>
          <w:b/>
          <w:sz w:val="28"/>
          <w:szCs w:val="28"/>
        </w:rPr>
        <w:t xml:space="preserve">за критерии за подбор на заявления за подпомагане по интервенция </w:t>
      </w:r>
      <w:r w:rsidR="00381AD5">
        <w:rPr>
          <w:rFonts w:ascii="Times New Roman" w:hAnsi="Times New Roman" w:cs="Times New Roman"/>
          <w:b/>
          <w:sz w:val="28"/>
          <w:szCs w:val="28"/>
          <w:lang w:val="en-GB"/>
        </w:rPr>
        <w:t>II.</w:t>
      </w:r>
      <w:r w:rsidR="00381AD5">
        <w:rPr>
          <w:rFonts w:ascii="Times New Roman" w:hAnsi="Times New Roman" w:cs="Times New Roman"/>
          <w:b/>
          <w:sz w:val="28"/>
          <w:szCs w:val="28"/>
        </w:rPr>
        <w:t xml:space="preserve">Ж.1 </w:t>
      </w:r>
      <w:r w:rsidRPr="004F28F1">
        <w:rPr>
          <w:rFonts w:ascii="Times New Roman" w:hAnsi="Times New Roman" w:cs="Times New Roman"/>
          <w:b/>
          <w:sz w:val="28"/>
          <w:szCs w:val="28"/>
        </w:rPr>
        <w:t>„Подкрепа за оперативни групи в рамките на ЕПИ“ за проекти във втора стъпка</w:t>
      </w:r>
      <w:r w:rsidR="008035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1551" w:rsidRDefault="00C31551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AD5" w:rsidRDefault="00381AD5" w:rsidP="00381A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6142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642"/>
        <w:gridCol w:w="3045"/>
        <w:gridCol w:w="6236"/>
        <w:gridCol w:w="991"/>
      </w:tblGrid>
      <w:tr w:rsidR="00041886" w:rsidRPr="00C9156B" w:rsidTr="00CD3AE6">
        <w:tc>
          <w:tcPr>
            <w:tcW w:w="294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95" w:type="pct"/>
            <w:shd w:val="clear" w:color="auto" w:fill="BFBFBF" w:themeFill="background1" w:themeFillShade="BF"/>
          </w:tcPr>
          <w:p w:rsidR="008D041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Приоритет/</w:t>
            </w:r>
          </w:p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за подбор на заявления</w:t>
            </w:r>
          </w:p>
        </w:tc>
        <w:tc>
          <w:tcPr>
            <w:tcW w:w="2857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AF1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Условие за изпълнение</w:t>
            </w:r>
          </w:p>
        </w:tc>
        <w:tc>
          <w:tcPr>
            <w:tcW w:w="454" w:type="pct"/>
            <w:shd w:val="clear" w:color="auto" w:fill="BFBFBF" w:themeFill="background1" w:themeFillShade="BF"/>
            <w:vAlign w:val="center"/>
          </w:tcPr>
          <w:p w:rsidR="00AF11A9" w:rsidRPr="00AF11A9" w:rsidRDefault="00AF11A9" w:rsidP="000D5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AF11A9" w:rsidRDefault="004F28F1" w:rsidP="005A05E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на новаторския план (3</w:t>
            </w:r>
            <w:r w:rsidR="005A05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т.)</w:t>
            </w:r>
          </w:p>
        </w:tc>
      </w:tr>
      <w:tr w:rsidR="00041886" w:rsidRPr="00C9156B" w:rsidTr="00CD3AE6">
        <w:trPr>
          <w:trHeight w:val="514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95" w:type="pct"/>
            <w:vMerge w:val="restar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на к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ачество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за изпълнение на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новаторския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4F28F1" w:rsidP="00413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Описанието на проблема, за който ще се търси решение чрез новаторския проект, е базирано на проучване в 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земеделски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стопанства и в конкретен период от време, и е направен извод на база наблюдения, изследвания, </w:t>
            </w:r>
            <w:r w:rsidRPr="00CD3AE6">
              <w:rPr>
                <w:rFonts w:ascii="Times New Roman" w:hAnsi="Times New Roman" w:cs="Times New Roman"/>
                <w:sz w:val="24"/>
                <w:szCs w:val="24"/>
              </w:rPr>
              <w:t>експерименти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документи, доказващи</w:t>
            </w:r>
            <w:r w:rsidR="00413A1B">
              <w:rPr>
                <w:rFonts w:ascii="Times New Roman" w:hAnsi="Times New Roman" w:cs="Times New Roman"/>
                <w:sz w:val="24"/>
                <w:szCs w:val="24"/>
              </w:rPr>
              <w:t>, наличието на проблема</w:t>
            </w:r>
            <w:r w:rsidR="00CD3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D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886" w:rsidRPr="00C9156B" w:rsidTr="00CD3AE6">
        <w:trPr>
          <w:trHeight w:val="514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830723" w:rsidP="002D2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2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Реалистичност на времевия график за изпълнение на проекта – кандидатът е обосновал постигането на поставените цели в рамките на времевия график за изпълнение на проекта. 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05EA" w:rsidRPr="00C9156B" w:rsidTr="00CD3AE6">
        <w:trPr>
          <w:trHeight w:val="1104"/>
        </w:trPr>
        <w:tc>
          <w:tcPr>
            <w:tcW w:w="294" w:type="pct"/>
            <w:vAlign w:val="center"/>
          </w:tcPr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5A05EA" w:rsidRPr="00C9156B" w:rsidRDefault="005A05EA" w:rsidP="005A0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Merge/>
            <w:vAlign w:val="center"/>
          </w:tcPr>
          <w:p w:rsidR="005A05EA" w:rsidRPr="00C9156B" w:rsidRDefault="005A05EA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5A05EA" w:rsidRPr="00C9156B" w:rsidRDefault="005A05EA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86">
              <w:rPr>
                <w:rFonts w:ascii="Times New Roman" w:hAnsi="Times New Roman" w:cs="Times New Roman"/>
                <w:sz w:val="24"/>
                <w:szCs w:val="24"/>
              </w:rPr>
              <w:t>В новаторския проект е планирана ясно формулирана цел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която е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относима към повече от една от специфичните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адресирани в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C9156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СПРЗСР 2023 – 2027 г.</w:t>
              </w:r>
            </w:hyperlink>
          </w:p>
        </w:tc>
        <w:tc>
          <w:tcPr>
            <w:tcW w:w="454" w:type="pct"/>
            <w:vAlign w:val="center"/>
          </w:tcPr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05EA" w:rsidRPr="00C9156B" w:rsidRDefault="005A05EA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86" w:rsidRPr="00C9156B" w:rsidTr="00CD3AE6">
        <w:trPr>
          <w:trHeight w:val="1152"/>
        </w:trPr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05E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новаторския проект са предвидени ясно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измерими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количествени или качествени показатели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D0419">
              <w:rPr>
                <w:rFonts w:ascii="Times New Roman" w:hAnsi="Times New Roman" w:cs="Times New Roman"/>
                <w:sz w:val="24"/>
                <w:szCs w:val="24"/>
              </w:rPr>
              <w:t xml:space="preserve">изпълнението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проекта, обвързани с преодоляване на идентифицирания проблем (пряко приложение в практиката).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1886" w:rsidRPr="00C9156B" w:rsidTr="00CD3AE6">
        <w:trPr>
          <w:trHeight w:val="888"/>
        </w:trPr>
        <w:tc>
          <w:tcPr>
            <w:tcW w:w="294" w:type="pct"/>
            <w:vAlign w:val="center"/>
          </w:tcPr>
          <w:p w:rsidR="004F28F1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A05E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Merge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  <w:vAlign w:val="center"/>
          </w:tcPr>
          <w:p w:rsidR="004F28F1" w:rsidRPr="00137B3E" w:rsidRDefault="004F28F1" w:rsidP="00137B3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Обосновани са очакваните възможности за мултиплициране на иновативното решение към по-голям брой </w:t>
            </w:r>
            <w:r w:rsid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заинтересовани лица</w:t>
            </w: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извън </w:t>
            </w:r>
            <w:r w:rsidR="00041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участниците в </w:t>
            </w:r>
            <w:r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оперативната група</w:t>
            </w:r>
            <w:r w:rsidR="00CD5335" w:rsidRPr="00137B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AF11A9" w:rsidRDefault="004F28F1" w:rsidP="00AF11A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Принос и очаквано въздействие на новаторския проект във връзка с</w:t>
            </w:r>
            <w:r w:rsidR="002B2F2A"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>ъс</w:t>
            </w:r>
            <w:r w:rsidRPr="00AF1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заложените цели в Стратегическия план (10 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Проекти с потенциал за иновации, насочени към подобряване на качеството на селскостопанските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продукти и</w:t>
            </w:r>
            <w:r w:rsidR="008133EC"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намаляване на себестойността им, в т.ч. базирани на цифрови технологии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CD3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Целта на проекта е свързана с повишаване на качеството на конкретен селскостопански продукт или 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 xml:space="preserve">подобряване на производствен </w:t>
            </w:r>
            <w:r w:rsidR="002D257F" w:rsidRPr="00BE786D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="002D257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прилагане на практики за намаляване на себестойността 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на селскостопански продукт</w:t>
            </w:r>
            <w:r w:rsidR="004339A3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чрез прилагане на нов/и подход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и за намаляване на разходите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 xml:space="preserve"> за производство и реализация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 xml:space="preserve"> т.ч.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чрез използване на цифрови технологии*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Проекти, насочени към устойчивото развитие и ефективно управление на природните ресурси като вода, почва и въздух, и/или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свързани със защита на биологичното разнообразие, подобряване на екосистемните</w:t>
            </w:r>
          </w:p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и опазване на местообитанията и ландшафта</w:t>
            </w:r>
          </w:p>
        </w:tc>
        <w:tc>
          <w:tcPr>
            <w:tcW w:w="2857" w:type="pct"/>
            <w:vAlign w:val="center"/>
          </w:tcPr>
          <w:p w:rsidR="004F28F1" w:rsidRPr="00111A1E" w:rsidRDefault="004F28F1" w:rsidP="00137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A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Основната цел на проекта, подкрепена с конкретна дейност/и, е насочена към устойчивото развитие и ефективно управление на природните ресурси като вода, почва и въздух, и/или защита на биологичното разнообразие, подобряване на екосистемните услуги** и опазване на местообитанията и ландшафта, във връзка с идентифицираните в СПРЗСР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2023-2027 г.</w:t>
            </w:r>
            <w:r w:rsidRPr="00111A1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</w:t>
            </w:r>
            <w:r w:rsidRPr="00137B3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111A1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към</w:t>
            </w:r>
            <w:r w:rsidRPr="00111A1E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hyperlink r:id="rId9" w:history="1">
              <w:r w:rsidRPr="00111A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специфична цел 5</w:t>
              </w:r>
            </w:hyperlink>
            <w:r w:rsidRPr="00111A1E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A1E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или </w:t>
            </w:r>
            <w:hyperlink r:id="rId10" w:history="1">
              <w:r w:rsidRPr="00111A1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специфична цел 6</w:t>
              </w:r>
            </w:hyperlink>
            <w:r w:rsidR="002D257F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D6EEE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  <w:r w:rsidR="002D257F"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чрез и</w:t>
            </w:r>
            <w:r w:rsidR="00B827D0">
              <w:rPr>
                <w:rFonts w:ascii="Times New Roman" w:hAnsi="Times New Roman" w:cs="Times New Roman"/>
                <w:sz w:val="24"/>
                <w:szCs w:val="24"/>
              </w:rPr>
              <w:t>зползване на цифрови технологии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</w:tcPr>
          <w:p w:rsidR="004F28F1" w:rsidRPr="00C9156B" w:rsidRDefault="004F28F1" w:rsidP="00CD3AE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на участниците в оперативната група (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съветник и представител на науката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като участници - консултантска организация/индивидуален съветник, с консултантски опит в сферата на селското/горско стопанство или храните и представител на науката***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" w:type="pct"/>
            <w:vAlign w:val="center"/>
          </w:tcPr>
          <w:p w:rsidR="004F28F1" w:rsidRPr="00C9156B" w:rsidRDefault="00DE0364" w:rsidP="00DE0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включва 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като партньор </w:t>
            </w:r>
            <w:r w:rsidR="00315058">
              <w:rPr>
                <w:rFonts w:ascii="Times New Roman" w:hAnsi="Times New Roman" w:cs="Times New Roman"/>
                <w:sz w:val="24"/>
                <w:szCs w:val="24"/>
              </w:rPr>
              <w:t>браншова организация</w:t>
            </w:r>
            <w:r w:rsidR="00EB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F90" w:rsidRPr="00A911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или развъдна организация</w:t>
            </w:r>
            <w:r w:rsidR="00315058" w:rsidRPr="00A9114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857" w:type="pct"/>
          </w:tcPr>
          <w:p w:rsidR="004F28F1" w:rsidRPr="00C9156B" w:rsidRDefault="00766031" w:rsidP="00766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включва </w:t>
            </w:r>
            <w:r w:rsidR="00D34141" w:rsidRPr="00A352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развъдна организация </w:t>
            </w:r>
            <w:r w:rsidR="00D34141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>раншова организация за производство и прерабо</w:t>
            </w:r>
            <w:r w:rsidR="00137B3E" w:rsidRPr="00315058">
              <w:rPr>
                <w:rFonts w:ascii="Times New Roman" w:hAnsi="Times New Roman" w:cs="Times New Roman"/>
                <w:sz w:val="24"/>
                <w:szCs w:val="24"/>
              </w:rPr>
              <w:t>тка на селскостопански продукти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която за целите на процедурата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 лице, учредено и регистрирано по реда на Закона за коопер</w:t>
            </w:r>
            <w:bookmarkStart w:id="0" w:name="_GoBack"/>
            <w:bookmarkEnd w:id="0"/>
            <w:r w:rsidR="004F28F1" w:rsidRPr="00315058">
              <w:rPr>
                <w:rFonts w:ascii="Times New Roman" w:hAnsi="Times New Roman" w:cs="Times New Roman"/>
                <w:sz w:val="24"/>
                <w:szCs w:val="24"/>
              </w:rPr>
              <w:t>ациите или Закона за юридическите лица с нестопанска цел, което подпомага, насърчава,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интерес. Браншовата организация е вписана като такава в устава и в търговския регистър и регистъра на юридическите лица с нестопанска цел или друг публичен регистър.</w:t>
            </w:r>
          </w:p>
        </w:tc>
        <w:tc>
          <w:tcPr>
            <w:tcW w:w="454" w:type="pct"/>
            <w:vAlign w:val="center"/>
          </w:tcPr>
          <w:p w:rsidR="004F28F1" w:rsidRPr="00C9156B" w:rsidRDefault="00DE0364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39A3" w:rsidRPr="00C9156B" w:rsidTr="00B56D5F">
        <w:trPr>
          <w:trHeight w:val="2208"/>
        </w:trPr>
        <w:tc>
          <w:tcPr>
            <w:tcW w:w="294" w:type="pct"/>
            <w:vAlign w:val="center"/>
          </w:tcPr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Align w:val="center"/>
          </w:tcPr>
          <w:p w:rsidR="004339A3" w:rsidRPr="00C9156B" w:rsidRDefault="004339A3" w:rsidP="00B56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включва най-малко двама зе</w:t>
            </w:r>
            <w:r w:rsidR="00B56D5F">
              <w:rPr>
                <w:rFonts w:ascii="Times New Roman" w:hAnsi="Times New Roman" w:cs="Times New Roman"/>
                <w:sz w:val="24"/>
                <w:szCs w:val="24"/>
              </w:rPr>
              <w:t>меделски стопани/горски стопани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или призната група/организация на производители</w:t>
            </w:r>
          </w:p>
        </w:tc>
        <w:tc>
          <w:tcPr>
            <w:tcW w:w="2857" w:type="pct"/>
            <w:shd w:val="clear" w:color="auto" w:fill="auto"/>
            <w:vAlign w:val="center"/>
          </w:tcPr>
          <w:p w:rsidR="004339A3" w:rsidRPr="000D5E43" w:rsidRDefault="004339A3" w:rsidP="00B56D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Оперативната група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включва най-малко двама земеделски</w:t>
            </w:r>
            <w:r w:rsidR="00B56D5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56D5F">
              <w:rPr>
                <w:rFonts w:ascii="Times New Roman" w:hAnsi="Times New Roman" w:cs="Times New Roman"/>
                <w:sz w:val="24"/>
                <w:szCs w:val="24"/>
              </w:rPr>
              <w:t xml:space="preserve">или двама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горски стопани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>призната от министъра на земеделието и храните група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>организация на производители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9A3" w:rsidRPr="000D5E43" w:rsidRDefault="004339A3" w:rsidP="00B56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4339A3" w:rsidRPr="007C3E1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E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339A3" w:rsidRPr="00CD3AE6" w:rsidRDefault="004339A3" w:rsidP="001C567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611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11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създадена чрез подкрепа по първа стъпка</w:t>
            </w:r>
          </w:p>
        </w:tc>
        <w:tc>
          <w:tcPr>
            <w:tcW w:w="2857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Оперативната група е създадена в резултат от сключен договор по интервенция II.Ж.1 „Подкрепа за оперативни групи в рамките на Европейското партньорство за иновации“ от Стратегически план за развитие на земеделието и селските райони на Република България за периода 2023-2027 г.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 xml:space="preserve"> и включва като участник водещ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партньор по процедура „Сформиране на оперативни групи (първа стъпка)“ от СПРЗСР 2023-2027 г.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  <w:vAlign w:val="center"/>
          </w:tcPr>
          <w:p w:rsidR="004F28F1" w:rsidRPr="00C9156B" w:rsidRDefault="004F28F1" w:rsidP="004339A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Популяризиране на резултатите (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A05EA"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137B3E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04188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е 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широко обхватен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план за популяризиране на резултатите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 от проекта</w:t>
            </w:r>
          </w:p>
        </w:tc>
        <w:tc>
          <w:tcPr>
            <w:tcW w:w="2857" w:type="pct"/>
            <w:vAlign w:val="center"/>
          </w:tcPr>
          <w:p w:rsidR="009B48E5" w:rsidRPr="00C9156B" w:rsidRDefault="004F28F1" w:rsidP="007C3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В заявлението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за подпомагане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4E5EE9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 </w:t>
            </w:r>
            <w:r w:rsidR="00A4249D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комуникационен план, включващ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съчетание от </w:t>
            </w:r>
            <w:r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дигитални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социални медии, имейл маркетинг, SEO (оптимизация за търсачка), PPC (плащане за реклама в търсачките), създаване и публикуване на видеа и др.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)</w:t>
            </w:r>
            <w:r w:rsidR="00B11C85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51C6C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традиционни</w:t>
            </w:r>
            <w:r w:rsidR="004E5EE9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="007C3E1B" w:rsidRPr="007C3E1B"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 в печатни издания, ТВ и радио публикации, външна реклама – билбордове, плакати, др.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="00B11C85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11C85" w:rsidRPr="007C3E1B">
              <w:rPr>
                <w:rFonts w:ascii="Times New Roman" w:hAnsi="Times New Roman" w:cs="Times New Roman"/>
                <w:b/>
                <w:sz w:val="24"/>
                <w:szCs w:val="24"/>
              </w:rPr>
              <w:t>други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="007C3E1B">
              <w:rPr>
                <w:rFonts w:ascii="Times New Roman" w:hAnsi="Times New Roman" w:cs="Times New Roman"/>
                <w:sz w:val="24"/>
                <w:szCs w:val="24"/>
              </w:rPr>
              <w:t xml:space="preserve">присъствени </w:t>
            </w:r>
            <w:r w:rsidR="007C3E1B" w:rsidRPr="00D51C6C">
              <w:rPr>
                <w:rFonts w:ascii="Times New Roman" w:hAnsi="Times New Roman" w:cs="Times New Roman"/>
                <w:sz w:val="24"/>
                <w:szCs w:val="24"/>
              </w:rPr>
              <w:t>събития, конференции, участие в изложения</w:t>
            </w:r>
            <w:r w:rsidR="007C3E1B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="007C3E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>маркетингови подходи за разпространение на резултатите от проекта, които да станат достояние на по-широк кръг от заинтересовани страни, в</w:t>
            </w:r>
            <w:r w:rsidR="009465BD" w:rsidRPr="00E0166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465BD"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т.ч. </w:t>
            </w:r>
            <w:r w:rsidR="00137B3E" w:rsidRPr="00E0166A">
              <w:rPr>
                <w:rFonts w:ascii="Times New Roman" w:hAnsi="Times New Roman" w:cs="Times New Roman"/>
                <w:sz w:val="24"/>
                <w:szCs w:val="24"/>
              </w:rPr>
              <w:t>уебсайт</w:t>
            </w:r>
            <w:r w:rsidRPr="00E01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B3E" w:rsidRPr="00E0166A">
              <w:rPr>
                <w:rFonts w:ascii="Times New Roman" w:hAnsi="Times New Roman" w:cs="Times New Roman"/>
                <w:sz w:val="24"/>
                <w:szCs w:val="24"/>
              </w:rPr>
              <w:t>на оперативната група.</w:t>
            </w:r>
          </w:p>
        </w:tc>
        <w:tc>
          <w:tcPr>
            <w:tcW w:w="454" w:type="pct"/>
            <w:vAlign w:val="center"/>
          </w:tcPr>
          <w:p w:rsidR="004F28F1" w:rsidRPr="00D51C6C" w:rsidRDefault="00A4249D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9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Предвидени са демонстрационни мероприятия</w:t>
            </w:r>
          </w:p>
        </w:tc>
        <w:tc>
          <w:tcPr>
            <w:tcW w:w="2857" w:type="pct"/>
          </w:tcPr>
          <w:p w:rsidR="004F28F1" w:rsidRPr="00C9156B" w:rsidRDefault="004F28F1" w:rsidP="002B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Предвидените дейности в заявлението за подпомагане включват 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2 бр.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демонстрационни мероприятия в различни етапи от изпълнение на новаторския проект.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381AD5">
        <w:tc>
          <w:tcPr>
            <w:tcW w:w="5000" w:type="pct"/>
            <w:gridSpan w:val="4"/>
            <w:shd w:val="clear" w:color="auto" w:fill="C5E0B3" w:themeFill="accent6" w:themeFillTint="66"/>
            <w:vAlign w:val="center"/>
          </w:tcPr>
          <w:p w:rsidR="004F28F1" w:rsidRPr="00C9156B" w:rsidRDefault="004F28F1" w:rsidP="004339A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на риска (</w:t>
            </w:r>
            <w:r w:rsidR="004339A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т.)</w:t>
            </w:r>
          </w:p>
        </w:tc>
      </w:tr>
      <w:tr w:rsidR="00041886" w:rsidRPr="00C9156B" w:rsidTr="00CD3AE6">
        <w:tc>
          <w:tcPr>
            <w:tcW w:w="29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137B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5" w:type="pct"/>
            <w:vAlign w:val="center"/>
          </w:tcPr>
          <w:p w:rsidR="004F28F1" w:rsidRPr="00C9156B" w:rsidRDefault="004F28F1" w:rsidP="0004188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Представена е ясна обосновка за</w:t>
            </w: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възможните предизвикателства в процеса на изпълнение на дейностите и постигане на очакваните резултати </w:t>
            </w:r>
          </w:p>
        </w:tc>
        <w:tc>
          <w:tcPr>
            <w:tcW w:w="2857" w:type="pct"/>
            <w:vAlign w:val="center"/>
          </w:tcPr>
          <w:p w:rsidR="004F28F1" w:rsidRPr="00C9156B" w:rsidRDefault="004F28F1" w:rsidP="000D5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Направен е </w:t>
            </w:r>
            <w:r w:rsidR="000D5E43">
              <w:rPr>
                <w:rFonts w:ascii="Times New Roman" w:hAnsi="Times New Roman" w:cs="Times New Roman"/>
                <w:sz w:val="24"/>
                <w:szCs w:val="24"/>
              </w:rPr>
              <w:t xml:space="preserve">детайлен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анализ на възможните предизвикателства за изпълнение на дейностите и начините за справяне с тях (напр. при отказ на някой от членовете на оперативната група, отказ на член на екипа, проблем с доставки на материали и консумативи и др.)</w:t>
            </w:r>
            <w:r w:rsidRPr="00C9156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Направена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преценка к</w:t>
            </w:r>
            <w:r w:rsidR="00041886">
              <w:rPr>
                <w:rFonts w:ascii="Times New Roman" w:hAnsi="Times New Roman" w:cs="Times New Roman"/>
                <w:sz w:val="24"/>
                <w:szCs w:val="24"/>
              </w:rPr>
              <w:t xml:space="preserve">акви са заплахите/ограниченията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екологични, законодателни, географски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4" w:type="pct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9A3" w:rsidRPr="00C9156B" w:rsidTr="00CD3AE6">
        <w:tc>
          <w:tcPr>
            <w:tcW w:w="294" w:type="pct"/>
            <w:vAlign w:val="center"/>
          </w:tcPr>
          <w:p w:rsidR="004339A3" w:rsidRPr="00C9156B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395" w:type="pct"/>
            <w:vAlign w:val="center"/>
          </w:tcPr>
          <w:p w:rsidR="004339A3" w:rsidRPr="00C9156B" w:rsidRDefault="004339A3" w:rsidP="00041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Осигурена финансова обезпеченост за реализация на проекта</w:t>
            </w:r>
          </w:p>
        </w:tc>
        <w:tc>
          <w:tcPr>
            <w:tcW w:w="2857" w:type="pct"/>
            <w:vAlign w:val="center"/>
          </w:tcPr>
          <w:p w:rsidR="004339A3" w:rsidRPr="002D4513" w:rsidRDefault="004339A3" w:rsidP="000D5E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Кандидатът доказва наличие на финансов ресурс в размер на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сто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размера на </w:t>
            </w:r>
            <w:r w:rsidRPr="00C9156B">
              <w:rPr>
                <w:rFonts w:ascii="Times New Roman" w:hAnsi="Times New Roman" w:cs="Times New Roman"/>
                <w:sz w:val="24"/>
                <w:szCs w:val="24"/>
              </w:rPr>
              <w:t>заявените разходи за първа прогнозна година от изпълнение на плана</w:t>
            </w:r>
            <w:r w:rsidR="002D45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Default="004339A3" w:rsidP="002B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39A3" w:rsidRPr="00C9156B" w:rsidTr="00CD3AE6">
        <w:trPr>
          <w:trHeight w:val="587"/>
        </w:trPr>
        <w:tc>
          <w:tcPr>
            <w:tcW w:w="294" w:type="pct"/>
            <w:vMerge w:val="restart"/>
            <w:vAlign w:val="center"/>
          </w:tcPr>
          <w:p w:rsidR="004339A3" w:rsidRPr="00C9156B" w:rsidRDefault="004339A3" w:rsidP="00CD3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395" w:type="pct"/>
            <w:vMerge w:val="restart"/>
            <w:vAlign w:val="center"/>
          </w:tcPr>
          <w:p w:rsidR="004339A3" w:rsidRPr="00C9156B" w:rsidRDefault="004339A3" w:rsidP="00803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Опит в прилагането на проекти, свързани с иновации в сферата на селското/горското стопанство </w:t>
            </w:r>
          </w:p>
        </w:tc>
        <w:tc>
          <w:tcPr>
            <w:tcW w:w="2857" w:type="pct"/>
          </w:tcPr>
          <w:p w:rsidR="004339A3" w:rsidRPr="002D4513" w:rsidRDefault="004339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един от участниците в оперативната група доказва опит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по внедряване на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иновативни решения в практиката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 в проект, свързан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с иновации, фи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нансиран</w:t>
            </w:r>
            <w:r w:rsidR="000E4355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0354D">
              <w:rPr>
                <w:rFonts w:ascii="Times New Roman" w:hAnsi="Times New Roman" w:cs="Times New Roman"/>
                <w:sz w:val="24"/>
                <w:szCs w:val="24"/>
              </w:rPr>
              <w:t xml:space="preserve">ПРСР 2014-2020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(подмярка 16.1) </w:t>
            </w:r>
            <w:r w:rsidR="0080354D">
              <w:rPr>
                <w:rFonts w:ascii="Times New Roman" w:hAnsi="Times New Roman" w:cs="Times New Roman"/>
                <w:sz w:val="24"/>
                <w:szCs w:val="24"/>
              </w:rPr>
              <w:t>или Хоризонт 2020 или Хоризонт Европа</w:t>
            </w:r>
            <w:r w:rsidR="002D451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Pr="00C9156B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9A3" w:rsidRPr="00C9156B" w:rsidTr="00CD3AE6">
        <w:trPr>
          <w:trHeight w:val="383"/>
        </w:trPr>
        <w:tc>
          <w:tcPr>
            <w:tcW w:w="294" w:type="pct"/>
            <w:vMerge/>
            <w:vAlign w:val="center"/>
          </w:tcPr>
          <w:p w:rsidR="004339A3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pct"/>
            <w:vMerge/>
          </w:tcPr>
          <w:p w:rsidR="004339A3" w:rsidRDefault="004339A3" w:rsidP="002B2F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pct"/>
          </w:tcPr>
          <w:p w:rsidR="004339A3" w:rsidRPr="002D4513" w:rsidRDefault="0080354D" w:rsidP="008035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Най-малко двама от участниците в оперативната група доказват опит 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по внедряване на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иновативни решения в практиката</w:t>
            </w:r>
            <w:r w:rsidRPr="004339A3"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>участие в проект, свързан с иновации, финансиран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</w:rPr>
              <w:t xml:space="preserve"> по ПРСР 2014-2020 </w:t>
            </w:r>
            <w:r w:rsidR="00766031">
              <w:rPr>
                <w:rFonts w:ascii="Times New Roman" w:hAnsi="Times New Roman" w:cs="Times New Roman"/>
                <w:sz w:val="24"/>
                <w:szCs w:val="24"/>
              </w:rPr>
              <w:t xml:space="preserve">(подмярка 16.1) 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</w:rPr>
              <w:t>или Хоризонт 2020 или Хоризонт Европа</w:t>
            </w:r>
            <w:r w:rsidR="000E4355" w:rsidRPr="000E435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54" w:type="pct"/>
            <w:vAlign w:val="center"/>
          </w:tcPr>
          <w:p w:rsidR="004339A3" w:rsidRDefault="004339A3" w:rsidP="00433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8F1" w:rsidRPr="00C9156B" w:rsidTr="00CD3AE6">
        <w:tc>
          <w:tcPr>
            <w:tcW w:w="4546" w:type="pct"/>
            <w:gridSpan w:val="3"/>
            <w:vAlign w:val="center"/>
          </w:tcPr>
          <w:p w:rsidR="004F28F1" w:rsidRPr="00C9156B" w:rsidRDefault="004F28F1" w:rsidP="002B2F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56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Максимален брой точки</w:t>
            </w:r>
          </w:p>
        </w:tc>
        <w:tc>
          <w:tcPr>
            <w:tcW w:w="454" w:type="pct"/>
            <w:vAlign w:val="center"/>
          </w:tcPr>
          <w:p w:rsidR="004F28F1" w:rsidRPr="00C9156B" w:rsidRDefault="004339A3" w:rsidP="000418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</w:tbl>
    <w:p w:rsidR="00AF11A9" w:rsidRDefault="00AF11A9" w:rsidP="00AF11A9">
      <w:pPr>
        <w:spacing w:before="40" w:after="40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AF11A9" w:rsidRPr="00041886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AF11A9" w:rsidRPr="00041886">
        <w:rPr>
          <w:rFonts w:ascii="Times New Roman" w:eastAsia="Times New Roman" w:hAnsi="Times New Roman" w:cs="Times New Roman"/>
          <w:sz w:val="24"/>
          <w:szCs w:val="24"/>
        </w:rPr>
        <w:t>Минимален брой точки по критериите за подбор за финансиране на едно заявление за подпомагане – 35 т.</w:t>
      </w:r>
    </w:p>
    <w:p w:rsidR="00AF11A9" w:rsidRPr="009D3865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>За заявления за подпомагане, получили еднакъв общ брой точки по критериите за подбор, за които е наличен частичен разполагаем бюджет, класирането се извършва в низходящ ред съобразно получ</w:t>
      </w:r>
      <w:r w:rsidR="00B827D0">
        <w:rPr>
          <w:rFonts w:ascii="Times New Roman" w:eastAsia="Times New Roman" w:hAnsi="Times New Roman" w:cs="Times New Roman"/>
          <w:sz w:val="24"/>
          <w:szCs w:val="24"/>
        </w:rPr>
        <w:t xml:space="preserve">ения общ брой точки по 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>критериите за подбор</w:t>
      </w:r>
      <w:r w:rsidR="00B827D0">
        <w:rPr>
          <w:rFonts w:ascii="Times New Roman" w:eastAsia="Times New Roman" w:hAnsi="Times New Roman" w:cs="Times New Roman"/>
          <w:sz w:val="24"/>
          <w:szCs w:val="24"/>
        </w:rPr>
        <w:t>, включени в следните приоритети</w:t>
      </w:r>
      <w:r w:rsidR="00AF11A9" w:rsidRPr="009D386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865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041886">
        <w:rPr>
          <w:rFonts w:ascii="Times New Roman" w:hAnsi="Times New Roman" w:cs="Times New Roman"/>
          <w:sz w:val="24"/>
          <w:szCs w:val="24"/>
        </w:rPr>
        <w:t>Качество на новаторския план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6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041886">
        <w:rPr>
          <w:rFonts w:ascii="Times New Roman" w:hAnsi="Times New Roman" w:cs="Times New Roman"/>
          <w:sz w:val="24"/>
          <w:szCs w:val="24"/>
        </w:rPr>
        <w:t>Оценка на участниците в оперативната група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Pr="00041886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886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041886">
        <w:rPr>
          <w:rFonts w:ascii="Times New Roman" w:hAnsi="Times New Roman" w:cs="Times New Roman"/>
          <w:sz w:val="24"/>
          <w:szCs w:val="24"/>
        </w:rPr>
        <w:t>Принос и очаквано въздействие на новаторския проект във връзка със заложените цели в Стратегическия план</w:t>
      </w:r>
      <w:r w:rsidRPr="0004188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1A9" w:rsidRDefault="00AF11A9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3865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</w:rPr>
        <w:t>Популяризиране на резултатите</w:t>
      </w:r>
      <w:r w:rsidR="00D210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10A4" w:rsidRDefault="00D210A4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Оценка на риска.</w:t>
      </w:r>
    </w:p>
    <w:p w:rsidR="00AF11A9" w:rsidRPr="00AF11A9" w:rsidRDefault="00041886" w:rsidP="00B56D5F">
      <w:pPr>
        <w:spacing w:before="40" w:after="40"/>
        <w:ind w:right="-10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Заявленията за подпомагане, получили еднакъв брой точки след класирането по реда на т.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 се класират по реда на чл. 1</w:t>
      </w:r>
      <w:r w:rsidR="00AF11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, ал. </w:t>
      </w:r>
      <w:r w:rsidR="00AF11A9">
        <w:rPr>
          <w:rFonts w:ascii="Times New Roman" w:eastAsia="Times New Roman" w:hAnsi="Times New Roman" w:cs="Times New Roman"/>
          <w:sz w:val="24"/>
          <w:szCs w:val="24"/>
        </w:rPr>
        <w:t>1, т. 3</w:t>
      </w:r>
      <w:r w:rsidR="00AF11A9" w:rsidRPr="003130A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F11A9" w:rsidRPr="004B49AD">
        <w:rPr>
          <w:rFonts w:ascii="Times New Roman" w:hAnsi="Times New Roman" w:cs="Times New Roman"/>
          <w:sz w:val="24"/>
          <w:szCs w:val="24"/>
        </w:rPr>
        <w:t>Н</w:t>
      </w:r>
      <w:r w:rsidR="00AF11A9">
        <w:rPr>
          <w:rFonts w:ascii="Times New Roman" w:hAnsi="Times New Roman" w:cs="Times New Roman"/>
          <w:sz w:val="24"/>
          <w:szCs w:val="24"/>
        </w:rPr>
        <w:t>аредба</w:t>
      </w:r>
      <w:r w:rsidR="00AF11A9" w:rsidRPr="004B49AD">
        <w:rPr>
          <w:rFonts w:ascii="Times New Roman" w:hAnsi="Times New Roman" w:cs="Times New Roman"/>
          <w:sz w:val="24"/>
          <w:szCs w:val="24"/>
        </w:rPr>
        <w:t xml:space="preserve"> № 4 от 25 октомври 2024 г.</w:t>
      </w:r>
    </w:p>
    <w:p w:rsidR="00AF11A9" w:rsidRDefault="00AF11A9" w:rsidP="00B56D5F">
      <w:pPr>
        <w:spacing w:after="0" w:line="276" w:lineRule="auto"/>
        <w:ind w:left="-567"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AF11A9" w:rsidRDefault="00AF11A9" w:rsidP="00B56D5F">
      <w:pPr>
        <w:spacing w:after="0" w:line="276" w:lineRule="auto"/>
        <w:ind w:left="-567"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2B2F2A" w:rsidRPr="002B2F2A" w:rsidRDefault="002B2F2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*</w:t>
      </w:r>
      <w:r w:rsidR="00AF11A9">
        <w:rPr>
          <w:rFonts w:ascii="Times New Roman" w:hAnsi="Times New Roman" w:cs="Times New Roman"/>
          <w:sz w:val="24"/>
          <w:szCs w:val="24"/>
        </w:rPr>
        <w:t xml:space="preserve"> </w:t>
      </w:r>
      <w:r w:rsidRPr="0057488C">
        <w:rPr>
          <w:rFonts w:ascii="Times New Roman" w:hAnsi="Times New Roman" w:cs="Times New Roman"/>
          <w:b/>
          <w:sz w:val="24"/>
          <w:szCs w:val="24"/>
        </w:rPr>
        <w:t>Цифровите технологии</w:t>
      </w:r>
      <w:r w:rsidRPr="002B2F2A">
        <w:rPr>
          <w:rFonts w:ascii="Times New Roman" w:hAnsi="Times New Roman" w:cs="Times New Roman"/>
          <w:sz w:val="24"/>
          <w:szCs w:val="24"/>
        </w:rPr>
        <w:t xml:space="preserve"> са съвкупност от хардуерни и софтуерни решения, които позволяват събиране, обработка, анализ и използване на данни за подобряване на производствените процеси, управлението на ресурсите, мониторинг, автоматизация и вземане на решения в </w:t>
      </w:r>
      <w:r w:rsidR="00AF11A9">
        <w:rPr>
          <w:rFonts w:ascii="Times New Roman" w:hAnsi="Times New Roman" w:cs="Times New Roman"/>
          <w:sz w:val="24"/>
          <w:szCs w:val="24"/>
        </w:rPr>
        <w:t>селското и горското стопанство</w:t>
      </w:r>
      <w:r w:rsidRPr="002B2F2A">
        <w:rPr>
          <w:rFonts w:ascii="Times New Roman" w:hAnsi="Times New Roman" w:cs="Times New Roman"/>
          <w:sz w:val="24"/>
          <w:szCs w:val="24"/>
        </w:rPr>
        <w:t>. Целта на прилагането на цифрови технологии е повишаване на ефективността, устойчивостта, проследимостта и конкурентосп</w:t>
      </w:r>
      <w:r w:rsidR="00AF11A9">
        <w:rPr>
          <w:rFonts w:ascii="Times New Roman" w:hAnsi="Times New Roman" w:cs="Times New Roman"/>
          <w:sz w:val="24"/>
          <w:szCs w:val="24"/>
        </w:rPr>
        <w:t>особността на селско стопанство или горското стопанство</w:t>
      </w:r>
      <w:r w:rsidRPr="002B2F2A">
        <w:rPr>
          <w:rFonts w:ascii="Times New Roman" w:hAnsi="Times New Roman" w:cs="Times New Roman"/>
          <w:sz w:val="24"/>
          <w:szCs w:val="24"/>
        </w:rPr>
        <w:t>, както и постигането на по-висока степен на автоматизация и дигитализация на процесите.</w:t>
      </w:r>
    </w:p>
    <w:p w:rsidR="00381AD5" w:rsidRDefault="00381AD5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2F2A" w:rsidRPr="00381AD5" w:rsidRDefault="002B2F2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381AD5">
        <w:rPr>
          <w:rFonts w:ascii="Times New Roman" w:hAnsi="Times New Roman" w:cs="Times New Roman"/>
          <w:sz w:val="24"/>
          <w:szCs w:val="24"/>
        </w:rPr>
        <w:t xml:space="preserve">Примери за цифрови технологии: 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Глобални навигационни спътникови системи (GNSS/GPS);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Системи за прецизно земеделие;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Дистанционни сензори, дронове и сателитно наблюдение;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Софтуер за управление на стопанство (Farm Management Information Systems);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lastRenderedPageBreak/>
        <w:t>Интернет на нещата (IoT) устройства за мониторинг на почва, вода, климат и животни;</w:t>
      </w:r>
    </w:p>
    <w:p w:rsidR="00AF11A9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Автоматизирани и роботизирани машини и оборудване;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Цифрови платформи (вкл. на базата на блокчейн) за търговия, логистика и анализ на данни, както и проследимостта на тези процеси;</w:t>
      </w:r>
    </w:p>
    <w:p w:rsidR="002B2F2A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 xml:space="preserve">Системи за проследимост, електронни </w:t>
      </w:r>
      <w:r w:rsidR="008B1AB0" w:rsidRPr="00AF11A9">
        <w:rPr>
          <w:rFonts w:ascii="Times New Roman" w:hAnsi="Times New Roman" w:cs="Times New Roman"/>
          <w:i/>
          <w:sz w:val="24"/>
          <w:szCs w:val="24"/>
        </w:rPr>
        <w:t>дневници и електронна отчетност;</w:t>
      </w:r>
    </w:p>
    <w:p w:rsidR="00151B46" w:rsidRPr="00AF11A9" w:rsidRDefault="002B2F2A" w:rsidP="00B56D5F">
      <w:pPr>
        <w:pStyle w:val="ListParagraph"/>
        <w:numPr>
          <w:ilvl w:val="0"/>
          <w:numId w:val="12"/>
        </w:numPr>
        <w:spacing w:after="0" w:line="276" w:lineRule="auto"/>
        <w:ind w:right="-10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11A9">
        <w:rPr>
          <w:rFonts w:ascii="Times New Roman" w:hAnsi="Times New Roman" w:cs="Times New Roman"/>
          <w:i/>
          <w:sz w:val="24"/>
          <w:szCs w:val="24"/>
        </w:rPr>
        <w:t>Изкуствен интелект и машинно обучение, когато се използват за анализ и оптимизация на агро-процеси.</w:t>
      </w:r>
    </w:p>
    <w:p w:rsidR="0057488C" w:rsidRDefault="0057488C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6707BA" w:rsidRPr="002B2F2A" w:rsidRDefault="006707BA" w:rsidP="00B56D5F">
      <w:p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2B2F2A">
        <w:rPr>
          <w:rFonts w:ascii="Times New Roman" w:hAnsi="Times New Roman" w:cs="Times New Roman"/>
          <w:sz w:val="24"/>
          <w:szCs w:val="24"/>
        </w:rPr>
        <w:t>*</w:t>
      </w:r>
      <w:r w:rsidR="0068399F" w:rsidRPr="002B2F2A">
        <w:rPr>
          <w:rFonts w:ascii="Times New Roman" w:hAnsi="Times New Roman" w:cs="Times New Roman"/>
          <w:sz w:val="24"/>
          <w:szCs w:val="24"/>
        </w:rPr>
        <w:t>*</w:t>
      </w:r>
      <w:r w:rsidR="00AF11A9">
        <w:rPr>
          <w:rFonts w:ascii="Times New Roman" w:hAnsi="Times New Roman" w:cs="Times New Roman"/>
          <w:sz w:val="24"/>
          <w:szCs w:val="24"/>
        </w:rPr>
        <w:t xml:space="preserve"> </w:t>
      </w:r>
      <w:r w:rsidRPr="0057488C">
        <w:rPr>
          <w:rFonts w:ascii="Times New Roman" w:hAnsi="Times New Roman" w:cs="Times New Roman"/>
          <w:b/>
          <w:sz w:val="24"/>
          <w:szCs w:val="24"/>
        </w:rPr>
        <w:t>Екосистемните услуги</w:t>
      </w:r>
      <w:r w:rsidRPr="002B2F2A">
        <w:rPr>
          <w:rFonts w:ascii="Times New Roman" w:hAnsi="Times New Roman" w:cs="Times New Roman"/>
          <w:sz w:val="24"/>
          <w:szCs w:val="24"/>
        </w:rPr>
        <w:t xml:space="preserve"> са услугите, които осигурява дадена екосистема и от които зависят хората.</w:t>
      </w:r>
    </w:p>
    <w:p w:rsidR="00AF11A9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Екосистемните услуги, от които се ползват хората, често се категоризират, както следва: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материални услуги, като храна, вода, дървен материал, влакна и генетични ресурси;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регулиращи услуги, като регулиране на климата, наводненията, заболяванията и качеството на водите;</w:t>
      </w:r>
    </w:p>
    <w:p w:rsidR="006707BA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културни услуги, като отдих и екотуризъм;</w:t>
      </w:r>
    </w:p>
    <w:p w:rsidR="005E78F6" w:rsidRPr="00AF11A9" w:rsidRDefault="006707BA" w:rsidP="00B56D5F">
      <w:pPr>
        <w:pStyle w:val="ListParagraph"/>
        <w:numPr>
          <w:ilvl w:val="0"/>
          <w:numId w:val="13"/>
        </w:numPr>
        <w:spacing w:after="0"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AF11A9">
        <w:rPr>
          <w:rFonts w:ascii="Times New Roman" w:hAnsi="Times New Roman" w:cs="Times New Roman"/>
          <w:sz w:val="24"/>
          <w:szCs w:val="24"/>
        </w:rPr>
        <w:t>поддържащи услуги, като почвообразуване, опрашване и кръговрат на хранителните вещества.</w:t>
      </w:r>
    </w:p>
    <w:p w:rsidR="0039152E" w:rsidRPr="0039152E" w:rsidRDefault="0039152E" w:rsidP="00B56D5F">
      <w:pPr>
        <w:spacing w:line="276" w:lineRule="auto"/>
        <w:ind w:right="-10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B9D" w:rsidRPr="00C9156B" w:rsidRDefault="0039152E" w:rsidP="00B56D5F">
      <w:p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39152E">
        <w:rPr>
          <w:rFonts w:ascii="Times New Roman" w:hAnsi="Times New Roman" w:cs="Times New Roman"/>
          <w:b/>
          <w:sz w:val="24"/>
          <w:szCs w:val="24"/>
        </w:rPr>
        <w:t>***</w:t>
      </w:r>
      <w:r w:rsidR="00AF1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52E">
        <w:rPr>
          <w:rFonts w:ascii="Times New Roman" w:hAnsi="Times New Roman" w:cs="Times New Roman"/>
          <w:b/>
          <w:sz w:val="24"/>
          <w:szCs w:val="24"/>
        </w:rPr>
        <w:t>П</w:t>
      </w:r>
      <w:r w:rsidR="00633B9D" w:rsidRPr="0039152E">
        <w:rPr>
          <w:rFonts w:ascii="Times New Roman" w:hAnsi="Times New Roman" w:cs="Times New Roman"/>
          <w:b/>
          <w:sz w:val="24"/>
          <w:szCs w:val="24"/>
        </w:rPr>
        <w:t>редставили</w:t>
      </w:r>
      <w:r w:rsidR="00633B9D" w:rsidRPr="00C9156B">
        <w:rPr>
          <w:rFonts w:ascii="Times New Roman" w:hAnsi="Times New Roman" w:cs="Times New Roman"/>
          <w:sz w:val="24"/>
          <w:szCs w:val="24"/>
        </w:rPr>
        <w:t xml:space="preserve"> </w:t>
      </w:r>
      <w:r w:rsidR="00633B9D" w:rsidRPr="00AF11A9">
        <w:rPr>
          <w:rFonts w:ascii="Times New Roman" w:hAnsi="Times New Roman" w:cs="Times New Roman"/>
          <w:b/>
          <w:sz w:val="24"/>
          <w:szCs w:val="24"/>
        </w:rPr>
        <w:t>на науката</w:t>
      </w:r>
      <w:r w:rsidR="00633B9D" w:rsidRPr="00C9156B">
        <w:rPr>
          <w:rFonts w:ascii="Times New Roman" w:hAnsi="Times New Roman" w:cs="Times New Roman"/>
          <w:sz w:val="24"/>
          <w:szCs w:val="24"/>
        </w:rPr>
        <w:t xml:space="preserve"> могат да бъдат:</w:t>
      </w:r>
    </w:p>
    <w:p w:rsidR="00633B9D" w:rsidRDefault="00633B9D" w:rsidP="00B56D5F">
      <w:pPr>
        <w:pStyle w:val="ListParagraph"/>
        <w:numPr>
          <w:ilvl w:val="0"/>
          <w:numId w:val="14"/>
        </w:num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Научни институти или опитни станции,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науките, както и специализирани държавни структури в областта на науката и научните изследвания и анализа и оценката на риска по агрохранителната верига;</w:t>
      </w:r>
    </w:p>
    <w:p w:rsidR="00041886" w:rsidRPr="00C9156B" w:rsidRDefault="00041886" w:rsidP="00B56D5F">
      <w:pPr>
        <w:pStyle w:val="ListParagraph"/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</w:p>
    <w:p w:rsidR="00633B9D" w:rsidRDefault="00633B9D" w:rsidP="00B56D5F">
      <w:pPr>
        <w:pStyle w:val="ListParagraph"/>
        <w:numPr>
          <w:ilvl w:val="0"/>
          <w:numId w:val="14"/>
        </w:numPr>
        <w:spacing w:line="276" w:lineRule="auto"/>
        <w:ind w:right="-1028"/>
        <w:jc w:val="both"/>
        <w:rPr>
          <w:rFonts w:ascii="Times New Roman" w:hAnsi="Times New Roman" w:cs="Times New Roman"/>
          <w:sz w:val="24"/>
          <w:szCs w:val="24"/>
        </w:rPr>
      </w:pPr>
      <w:r w:rsidRPr="00C9156B">
        <w:rPr>
          <w:rFonts w:ascii="Times New Roman" w:hAnsi="Times New Roman" w:cs="Times New Roman"/>
          <w:sz w:val="24"/>
          <w:szCs w:val="24"/>
        </w:rPr>
        <w:t>Висши училища, акредитирани по Закона за висшето образование с актуални акредитации по професионални направления „Растениевъдство“, „Растителна защита“, „Животновъдство“, „Ветеринарна медицина“, „Горско стопанство“, „Хранителни технологии“, „Биотехнологии“, „Науки за земята“</w:t>
      </w:r>
      <w:r w:rsidR="00E027FB" w:rsidRPr="00C9156B">
        <w:rPr>
          <w:rFonts w:ascii="Times New Roman" w:hAnsi="Times New Roman" w:cs="Times New Roman"/>
          <w:sz w:val="24"/>
          <w:szCs w:val="24"/>
        </w:rPr>
        <w:t xml:space="preserve">, </w:t>
      </w:r>
      <w:r w:rsidR="00E027FB" w:rsidRPr="00C9156B">
        <w:rPr>
          <w:rFonts w:ascii="Times New Roman" w:eastAsia="Times New Roman" w:hAnsi="Times New Roman" w:cs="Times New Roman"/>
          <w:noProof/>
          <w:sz w:val="24"/>
          <w:szCs w:val="24"/>
        </w:rPr>
        <w:t>„Икономика (специалност аграрен бизнес и екоиномика)“</w:t>
      </w:r>
      <w:r w:rsidRPr="00C9156B">
        <w:rPr>
          <w:rFonts w:ascii="Times New Roman" w:hAnsi="Times New Roman" w:cs="Times New Roman"/>
          <w:sz w:val="24"/>
          <w:szCs w:val="24"/>
        </w:rPr>
        <w:t xml:space="preserve"> и професионални гимназии в областта на селското стопанство</w:t>
      </w:r>
      <w:r w:rsidR="0039152E">
        <w:rPr>
          <w:rFonts w:ascii="Times New Roman" w:hAnsi="Times New Roman" w:cs="Times New Roman"/>
          <w:sz w:val="24"/>
          <w:szCs w:val="24"/>
        </w:rPr>
        <w:t>.</w:t>
      </w:r>
    </w:p>
    <w:sectPr w:rsidR="00633B9D" w:rsidSect="00137B3E">
      <w:headerReference w:type="even" r:id="rId11"/>
      <w:headerReference w:type="default" r:id="rId12"/>
      <w:headerReference w:type="first" r:id="rId13"/>
      <w:pgSz w:w="11906" w:h="16838"/>
      <w:pgMar w:top="851" w:right="1841" w:bottom="567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BD4" w:rsidRDefault="008D5BD4" w:rsidP="00734B6F">
      <w:pPr>
        <w:spacing w:after="0" w:line="240" w:lineRule="auto"/>
      </w:pPr>
      <w:r>
        <w:separator/>
      </w:r>
    </w:p>
  </w:endnote>
  <w:endnote w:type="continuationSeparator" w:id="0">
    <w:p w:rsidR="008D5BD4" w:rsidRDefault="008D5BD4" w:rsidP="0073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BD4" w:rsidRDefault="008D5BD4" w:rsidP="00734B6F">
      <w:pPr>
        <w:spacing w:after="0" w:line="240" w:lineRule="auto"/>
      </w:pPr>
      <w:r>
        <w:separator/>
      </w:r>
    </w:p>
  </w:footnote>
  <w:footnote w:type="continuationSeparator" w:id="0">
    <w:p w:rsidR="008D5BD4" w:rsidRDefault="008D5BD4" w:rsidP="0073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734B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734B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6F" w:rsidRDefault="00734B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2F46"/>
    <w:multiLevelType w:val="hybridMultilevel"/>
    <w:tmpl w:val="8D3EECFC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2644D14"/>
    <w:multiLevelType w:val="hybridMultilevel"/>
    <w:tmpl w:val="B7DABC68"/>
    <w:lvl w:ilvl="0" w:tplc="2DC4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F05B9"/>
    <w:multiLevelType w:val="hybridMultilevel"/>
    <w:tmpl w:val="698EE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C7F36"/>
    <w:multiLevelType w:val="hybridMultilevel"/>
    <w:tmpl w:val="6DD4C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3350B"/>
    <w:multiLevelType w:val="hybridMultilevel"/>
    <w:tmpl w:val="471EC09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39483ED1"/>
    <w:multiLevelType w:val="hybridMultilevel"/>
    <w:tmpl w:val="1BFC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E3B5C"/>
    <w:multiLevelType w:val="multilevel"/>
    <w:tmpl w:val="FC004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2306B23"/>
    <w:multiLevelType w:val="hybridMultilevel"/>
    <w:tmpl w:val="D6B8D760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47F965ED"/>
    <w:multiLevelType w:val="hybridMultilevel"/>
    <w:tmpl w:val="FA96F3B6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585308"/>
    <w:multiLevelType w:val="hybridMultilevel"/>
    <w:tmpl w:val="E566FF3C"/>
    <w:lvl w:ilvl="0" w:tplc="30A488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5196F"/>
    <w:multiLevelType w:val="hybridMultilevel"/>
    <w:tmpl w:val="1584D0B2"/>
    <w:lvl w:ilvl="0" w:tplc="B10E0708">
      <w:start w:val="100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031F8"/>
    <w:multiLevelType w:val="hybridMultilevel"/>
    <w:tmpl w:val="51E2D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64F00"/>
    <w:multiLevelType w:val="hybridMultilevel"/>
    <w:tmpl w:val="EE024F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C0065"/>
    <w:multiLevelType w:val="hybridMultilevel"/>
    <w:tmpl w:val="597C40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34F74"/>
    <w:multiLevelType w:val="hybridMultilevel"/>
    <w:tmpl w:val="9F5E6B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11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3F"/>
    <w:rsid w:val="0000381D"/>
    <w:rsid w:val="00005548"/>
    <w:rsid w:val="00023C36"/>
    <w:rsid w:val="00041886"/>
    <w:rsid w:val="00072AEF"/>
    <w:rsid w:val="00075031"/>
    <w:rsid w:val="000B2D49"/>
    <w:rsid w:val="000B330A"/>
    <w:rsid w:val="000D5E43"/>
    <w:rsid w:val="000D74F3"/>
    <w:rsid w:val="000E4355"/>
    <w:rsid w:val="00106B16"/>
    <w:rsid w:val="00111A1E"/>
    <w:rsid w:val="0012448D"/>
    <w:rsid w:val="00137B3E"/>
    <w:rsid w:val="00137C74"/>
    <w:rsid w:val="001417CF"/>
    <w:rsid w:val="001468AC"/>
    <w:rsid w:val="0015043A"/>
    <w:rsid w:val="00151B46"/>
    <w:rsid w:val="001602F8"/>
    <w:rsid w:val="00165305"/>
    <w:rsid w:val="00165939"/>
    <w:rsid w:val="001753EF"/>
    <w:rsid w:val="001840BE"/>
    <w:rsid w:val="001C2CE1"/>
    <w:rsid w:val="001D7837"/>
    <w:rsid w:val="001F0B25"/>
    <w:rsid w:val="00212B07"/>
    <w:rsid w:val="0021570C"/>
    <w:rsid w:val="00216E20"/>
    <w:rsid w:val="00235A88"/>
    <w:rsid w:val="0024066F"/>
    <w:rsid w:val="00251D75"/>
    <w:rsid w:val="00251DA8"/>
    <w:rsid w:val="002628EC"/>
    <w:rsid w:val="00265252"/>
    <w:rsid w:val="00272989"/>
    <w:rsid w:val="00272F7C"/>
    <w:rsid w:val="002967CB"/>
    <w:rsid w:val="002A11D9"/>
    <w:rsid w:val="002B2F2A"/>
    <w:rsid w:val="002C0860"/>
    <w:rsid w:val="002C15A6"/>
    <w:rsid w:val="002D0A86"/>
    <w:rsid w:val="002D257F"/>
    <w:rsid w:val="002D4513"/>
    <w:rsid w:val="002D7FE6"/>
    <w:rsid w:val="002E1129"/>
    <w:rsid w:val="002F5E14"/>
    <w:rsid w:val="002F7EC1"/>
    <w:rsid w:val="00301513"/>
    <w:rsid w:val="00302848"/>
    <w:rsid w:val="00313573"/>
    <w:rsid w:val="00315058"/>
    <w:rsid w:val="00321D67"/>
    <w:rsid w:val="00324B64"/>
    <w:rsid w:val="00343DB5"/>
    <w:rsid w:val="003446F0"/>
    <w:rsid w:val="0035698F"/>
    <w:rsid w:val="00364279"/>
    <w:rsid w:val="00373284"/>
    <w:rsid w:val="003757C4"/>
    <w:rsid w:val="00381AD5"/>
    <w:rsid w:val="00387DB9"/>
    <w:rsid w:val="0039152E"/>
    <w:rsid w:val="003A0D8A"/>
    <w:rsid w:val="003A3C0C"/>
    <w:rsid w:val="003B3FD4"/>
    <w:rsid w:val="003E2ED5"/>
    <w:rsid w:val="003E4345"/>
    <w:rsid w:val="003F2D73"/>
    <w:rsid w:val="00413A1B"/>
    <w:rsid w:val="00424DF5"/>
    <w:rsid w:val="00425DD1"/>
    <w:rsid w:val="00427AC2"/>
    <w:rsid w:val="004339A3"/>
    <w:rsid w:val="004524A1"/>
    <w:rsid w:val="00457893"/>
    <w:rsid w:val="004A3E27"/>
    <w:rsid w:val="004B18B8"/>
    <w:rsid w:val="004B528F"/>
    <w:rsid w:val="004D30D3"/>
    <w:rsid w:val="004D6EEE"/>
    <w:rsid w:val="004E3852"/>
    <w:rsid w:val="004E5EE9"/>
    <w:rsid w:val="004F28F1"/>
    <w:rsid w:val="005133DF"/>
    <w:rsid w:val="00537DEF"/>
    <w:rsid w:val="00545841"/>
    <w:rsid w:val="00560539"/>
    <w:rsid w:val="00571672"/>
    <w:rsid w:val="0057488C"/>
    <w:rsid w:val="005928E5"/>
    <w:rsid w:val="005A05EA"/>
    <w:rsid w:val="005B179C"/>
    <w:rsid w:val="005B1907"/>
    <w:rsid w:val="005E4808"/>
    <w:rsid w:val="005E78F6"/>
    <w:rsid w:val="005F5765"/>
    <w:rsid w:val="006009A4"/>
    <w:rsid w:val="00610606"/>
    <w:rsid w:val="00611436"/>
    <w:rsid w:val="00620D05"/>
    <w:rsid w:val="00622E82"/>
    <w:rsid w:val="00633AAC"/>
    <w:rsid w:val="00633B9D"/>
    <w:rsid w:val="006672E8"/>
    <w:rsid w:val="006707BA"/>
    <w:rsid w:val="00677168"/>
    <w:rsid w:val="0068399F"/>
    <w:rsid w:val="00694BA5"/>
    <w:rsid w:val="006972F1"/>
    <w:rsid w:val="006A164B"/>
    <w:rsid w:val="006A586D"/>
    <w:rsid w:val="006A5950"/>
    <w:rsid w:val="006D1C40"/>
    <w:rsid w:val="006D78C1"/>
    <w:rsid w:val="006F2CF2"/>
    <w:rsid w:val="00734213"/>
    <w:rsid w:val="007348BF"/>
    <w:rsid w:val="00734B6F"/>
    <w:rsid w:val="007463D8"/>
    <w:rsid w:val="0074650F"/>
    <w:rsid w:val="00766031"/>
    <w:rsid w:val="00766ABE"/>
    <w:rsid w:val="00766F44"/>
    <w:rsid w:val="00770CC8"/>
    <w:rsid w:val="00773F75"/>
    <w:rsid w:val="00777330"/>
    <w:rsid w:val="00783289"/>
    <w:rsid w:val="00785207"/>
    <w:rsid w:val="00790420"/>
    <w:rsid w:val="007969BE"/>
    <w:rsid w:val="007A1DCA"/>
    <w:rsid w:val="007A6B23"/>
    <w:rsid w:val="007B5E4A"/>
    <w:rsid w:val="007C3E1B"/>
    <w:rsid w:val="007E2D18"/>
    <w:rsid w:val="007F0024"/>
    <w:rsid w:val="007F19F7"/>
    <w:rsid w:val="007F51B5"/>
    <w:rsid w:val="0080354D"/>
    <w:rsid w:val="00806102"/>
    <w:rsid w:val="008133EC"/>
    <w:rsid w:val="00814DF7"/>
    <w:rsid w:val="00826622"/>
    <w:rsid w:val="008269CE"/>
    <w:rsid w:val="00830091"/>
    <w:rsid w:val="00830723"/>
    <w:rsid w:val="00830D17"/>
    <w:rsid w:val="0083183F"/>
    <w:rsid w:val="00832FDE"/>
    <w:rsid w:val="00842350"/>
    <w:rsid w:val="00844371"/>
    <w:rsid w:val="00846ABE"/>
    <w:rsid w:val="00866A08"/>
    <w:rsid w:val="0087775A"/>
    <w:rsid w:val="008870C3"/>
    <w:rsid w:val="0089539D"/>
    <w:rsid w:val="008A0F25"/>
    <w:rsid w:val="008B1AB0"/>
    <w:rsid w:val="008B60E8"/>
    <w:rsid w:val="008C3FFE"/>
    <w:rsid w:val="008D0419"/>
    <w:rsid w:val="008D0B1F"/>
    <w:rsid w:val="008D25EF"/>
    <w:rsid w:val="008D5BD4"/>
    <w:rsid w:val="008D70AB"/>
    <w:rsid w:val="008E2E67"/>
    <w:rsid w:val="008F75F0"/>
    <w:rsid w:val="00905769"/>
    <w:rsid w:val="0091055B"/>
    <w:rsid w:val="009343AE"/>
    <w:rsid w:val="009465BD"/>
    <w:rsid w:val="009601F9"/>
    <w:rsid w:val="009614E8"/>
    <w:rsid w:val="00984B00"/>
    <w:rsid w:val="00993004"/>
    <w:rsid w:val="00995D43"/>
    <w:rsid w:val="00997DB7"/>
    <w:rsid w:val="009B48E5"/>
    <w:rsid w:val="009B7E8F"/>
    <w:rsid w:val="009C2F03"/>
    <w:rsid w:val="009D6340"/>
    <w:rsid w:val="009E051A"/>
    <w:rsid w:val="009F1D0C"/>
    <w:rsid w:val="009F4D23"/>
    <w:rsid w:val="00A040B6"/>
    <w:rsid w:val="00A2509A"/>
    <w:rsid w:val="00A35234"/>
    <w:rsid w:val="00A4249D"/>
    <w:rsid w:val="00A6546F"/>
    <w:rsid w:val="00A810B0"/>
    <w:rsid w:val="00A86F4F"/>
    <w:rsid w:val="00A87BBA"/>
    <w:rsid w:val="00A9114F"/>
    <w:rsid w:val="00A95093"/>
    <w:rsid w:val="00AA41F5"/>
    <w:rsid w:val="00AA504C"/>
    <w:rsid w:val="00AD4B6D"/>
    <w:rsid w:val="00AE4FE2"/>
    <w:rsid w:val="00AF0E68"/>
    <w:rsid w:val="00AF11A9"/>
    <w:rsid w:val="00B00CD0"/>
    <w:rsid w:val="00B02CA3"/>
    <w:rsid w:val="00B11C85"/>
    <w:rsid w:val="00B41E54"/>
    <w:rsid w:val="00B50000"/>
    <w:rsid w:val="00B53B88"/>
    <w:rsid w:val="00B56D5F"/>
    <w:rsid w:val="00B827D0"/>
    <w:rsid w:val="00B97C97"/>
    <w:rsid w:val="00BA58D0"/>
    <w:rsid w:val="00BB3EAF"/>
    <w:rsid w:val="00BD44E6"/>
    <w:rsid w:val="00BD7B71"/>
    <w:rsid w:val="00BE0262"/>
    <w:rsid w:val="00BE2FE1"/>
    <w:rsid w:val="00BE42AD"/>
    <w:rsid w:val="00BE786D"/>
    <w:rsid w:val="00BF5FD5"/>
    <w:rsid w:val="00C12AF0"/>
    <w:rsid w:val="00C14CF1"/>
    <w:rsid w:val="00C26E3E"/>
    <w:rsid w:val="00C31551"/>
    <w:rsid w:val="00C31AA1"/>
    <w:rsid w:val="00C42C84"/>
    <w:rsid w:val="00C64D95"/>
    <w:rsid w:val="00C74131"/>
    <w:rsid w:val="00C834EF"/>
    <w:rsid w:val="00C9156B"/>
    <w:rsid w:val="00C9383F"/>
    <w:rsid w:val="00CA4823"/>
    <w:rsid w:val="00CA55FA"/>
    <w:rsid w:val="00CA6D64"/>
    <w:rsid w:val="00CC0816"/>
    <w:rsid w:val="00CD1C29"/>
    <w:rsid w:val="00CD3AE6"/>
    <w:rsid w:val="00CD5335"/>
    <w:rsid w:val="00CF2630"/>
    <w:rsid w:val="00D03FDB"/>
    <w:rsid w:val="00D05ACA"/>
    <w:rsid w:val="00D210A4"/>
    <w:rsid w:val="00D221D1"/>
    <w:rsid w:val="00D34141"/>
    <w:rsid w:val="00D36B87"/>
    <w:rsid w:val="00D51C6C"/>
    <w:rsid w:val="00D655E3"/>
    <w:rsid w:val="00D75C25"/>
    <w:rsid w:val="00D83459"/>
    <w:rsid w:val="00D868A9"/>
    <w:rsid w:val="00DA20AC"/>
    <w:rsid w:val="00DD3E82"/>
    <w:rsid w:val="00DE0364"/>
    <w:rsid w:val="00DE5278"/>
    <w:rsid w:val="00DF2CCC"/>
    <w:rsid w:val="00DF5FB7"/>
    <w:rsid w:val="00E0166A"/>
    <w:rsid w:val="00E027FB"/>
    <w:rsid w:val="00E14D92"/>
    <w:rsid w:val="00E32868"/>
    <w:rsid w:val="00E34210"/>
    <w:rsid w:val="00E41F8A"/>
    <w:rsid w:val="00E52687"/>
    <w:rsid w:val="00E546F9"/>
    <w:rsid w:val="00E65EA1"/>
    <w:rsid w:val="00E952AB"/>
    <w:rsid w:val="00EA4BA2"/>
    <w:rsid w:val="00EB3F90"/>
    <w:rsid w:val="00EB45C3"/>
    <w:rsid w:val="00EB53B3"/>
    <w:rsid w:val="00EB5F39"/>
    <w:rsid w:val="00ED5FC1"/>
    <w:rsid w:val="00EE7110"/>
    <w:rsid w:val="00F12CCA"/>
    <w:rsid w:val="00F210A1"/>
    <w:rsid w:val="00F22B96"/>
    <w:rsid w:val="00F26E46"/>
    <w:rsid w:val="00F26E63"/>
    <w:rsid w:val="00F52DE3"/>
    <w:rsid w:val="00F62367"/>
    <w:rsid w:val="00F743AA"/>
    <w:rsid w:val="00F77C5D"/>
    <w:rsid w:val="00F908DF"/>
    <w:rsid w:val="00F91E75"/>
    <w:rsid w:val="00FA14E9"/>
    <w:rsid w:val="00FC1454"/>
    <w:rsid w:val="00FD1487"/>
    <w:rsid w:val="00FD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2FCDA"/>
  <w15:chartTrackingRefBased/>
  <w15:docId w15:val="{FB75A6D4-4D39-4E35-A68C-2C58BBE3A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3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4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2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9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9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9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9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68A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7DB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B6F"/>
  </w:style>
  <w:style w:type="paragraph" w:styleId="Footer">
    <w:name w:val="footer"/>
    <w:basedOn w:val="Normal"/>
    <w:link w:val="FooterChar"/>
    <w:uiPriority w:val="99"/>
    <w:unhideWhenUsed/>
    <w:rsid w:val="0073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2023.bg/index.php/bg/sprzsr-bg/ce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p2023.bg/index.php/bg/sprzsr-bg/celi/specificna-cel-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p2023.bg/index.php/bg/sprzsr-bg/celi/specificna-cel-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60EA0-00E6-45C9-8011-96AD56AB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10</cp:revision>
  <dcterms:created xsi:type="dcterms:W3CDTF">2025-09-05T08:21:00Z</dcterms:created>
  <dcterms:modified xsi:type="dcterms:W3CDTF">2025-09-09T05:53:00Z</dcterms:modified>
</cp:coreProperties>
</file>